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关于印发市级预算支出定额标准的通知</w:t>
      </w:r>
    </w:p>
    <w:p>
      <w:pPr>
        <w:jc w:val="right"/>
        <w:rPr>
          <w:rFonts w:hint="eastAsia" w:ascii="宋体" w:hAnsi="宋体" w:eastAsia="宋体" w:cs="宋体"/>
          <w:b w:val="0"/>
          <w:bCs w:val="0"/>
          <w:sz w:val="28"/>
          <w:szCs w:val="28"/>
        </w:rPr>
      </w:pPr>
      <w:r>
        <w:rPr>
          <w:rFonts w:hint="eastAsia" w:ascii="宋体" w:hAnsi="宋体" w:eastAsia="宋体" w:cs="宋体"/>
          <w:b w:val="0"/>
          <w:bCs w:val="0"/>
          <w:sz w:val="30"/>
          <w:szCs w:val="30"/>
        </w:rPr>
        <w:t>沪财预（2013）79号</w:t>
      </w:r>
    </w:p>
    <w:p>
      <w:p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各预算主管部门，各预算单位：</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预算支出定额标准是申请、审核和安排预算资金的依据。近年来，我局按照财政部和市委、市政府关于进一步深化预算管理改革、提高预算编制科学性和规范性的要求，研究和建立预算支出定额标准体系，现将已制定的预算支出定额标准印发给你们，请认真按照执行。</w:t>
      </w:r>
    </w:p>
    <w:p>
      <w:pPr>
        <w:ind w:firstLine="560" w:firstLineChars="200"/>
        <w:jc w:val="left"/>
        <w:rPr>
          <w:rFonts w:hint="eastAsia" w:ascii="宋体" w:hAnsi="宋体" w:eastAsia="宋体" w:cs="宋体"/>
          <w:b w:val="0"/>
          <w:bCs w:val="0"/>
          <w:sz w:val="28"/>
          <w:szCs w:val="28"/>
        </w:rPr>
      </w:pPr>
      <w:bookmarkStart w:id="0" w:name="_GoBack"/>
      <w:r>
        <w:rPr>
          <w:rFonts w:hint="eastAsia" w:ascii="宋体" w:hAnsi="宋体" w:eastAsia="宋体" w:cs="宋体"/>
          <w:b w:val="0"/>
          <w:bCs w:val="0"/>
          <w:sz w:val="28"/>
          <w:szCs w:val="28"/>
        </w:rPr>
        <w:t>各预算主管部门和预算单位应严格按已制定的预算支出定额标</w:t>
      </w:r>
      <w:bookmarkEnd w:id="0"/>
      <w:r>
        <w:rPr>
          <w:rFonts w:hint="eastAsia" w:ascii="宋体" w:hAnsi="宋体" w:eastAsia="宋体" w:cs="宋体"/>
          <w:b w:val="0"/>
          <w:bCs w:val="0"/>
          <w:sz w:val="28"/>
          <w:szCs w:val="28"/>
        </w:rPr>
        <w:t>准编制预算。定额标准执行过程中如有特殊情况，请按部门预算管理序列及时报我局。今后，我局将会同各预算主管部门继续加强预算支出定额标准的研究制定工作，逐步健全和完善市级预算支出定额标准体系。</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特此通知。</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附件：上海市市级预算支出定额标准一览表</w:t>
      </w:r>
    </w:p>
    <w:p>
      <w:pPr>
        <w:jc w:val="righ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上海市财政局</w:t>
      </w:r>
    </w:p>
    <w:p>
      <w:pPr>
        <w:jc w:val="right"/>
        <w:rPr>
          <w:rFonts w:hint="eastAsia" w:ascii="宋体" w:hAnsi="宋体" w:eastAsia="宋体" w:cs="宋体"/>
          <w:b w:val="0"/>
          <w:bCs w:val="0"/>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val="0"/>
          <w:bCs w:val="0"/>
          <w:sz w:val="28"/>
          <w:szCs w:val="28"/>
        </w:rPr>
        <w:t xml:space="preserve">                       2013年8月19日</w:t>
      </w:r>
    </w:p>
    <w:p>
      <w:pPr>
        <w:jc w:val="right"/>
        <w:rPr>
          <w:rFonts w:ascii="仿宋" w:hAnsi="仿宋" w:eastAsia="仿宋"/>
          <w:sz w:val="28"/>
          <w:szCs w:val="28"/>
        </w:rPr>
      </w:pPr>
    </w:p>
    <w:p>
      <w:pPr>
        <w:jc w:val="left"/>
        <w:rPr>
          <w:rFonts w:asciiTheme="minorEastAsia" w:hAnsiTheme="minorEastAsia"/>
          <w:b/>
          <w:sz w:val="28"/>
          <w:szCs w:val="28"/>
        </w:rPr>
      </w:pPr>
      <w:r>
        <w:rPr>
          <w:rFonts w:hint="eastAsia" w:asciiTheme="minorEastAsia" w:hAnsiTheme="minorEastAsia"/>
          <w:b/>
          <w:sz w:val="28"/>
          <w:szCs w:val="28"/>
        </w:rPr>
        <w:t>附件：</w:t>
      </w:r>
    </w:p>
    <w:p>
      <w:pPr>
        <w:jc w:val="left"/>
        <w:rPr>
          <w:rFonts w:asciiTheme="minorEastAsia" w:hAnsiTheme="minorEastAsia"/>
          <w:b/>
          <w:sz w:val="36"/>
          <w:szCs w:val="36"/>
        </w:rPr>
      </w:pPr>
      <w:r>
        <w:rPr>
          <w:rFonts w:hint="eastAsia" w:asciiTheme="minorEastAsia" w:hAnsiTheme="minorEastAsia"/>
          <w:b/>
          <w:sz w:val="36"/>
          <w:szCs w:val="36"/>
        </w:rPr>
        <w:t>上海市市级预算支出定额标准一览表</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410"/>
        <w:gridCol w:w="2631"/>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384" w:type="dxa"/>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410" w:type="dxa"/>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定额项目</w:t>
            </w:r>
          </w:p>
        </w:tc>
        <w:tc>
          <w:tcPr>
            <w:tcW w:w="2631" w:type="dxa"/>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支出标准</w:t>
            </w:r>
          </w:p>
        </w:tc>
        <w:tc>
          <w:tcPr>
            <w:tcW w:w="2755" w:type="dxa"/>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支出范围及相关说明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办公用房物业管理费</w:t>
            </w:r>
          </w:p>
        </w:tc>
        <w:tc>
          <w:tcPr>
            <w:tcW w:w="2631" w:type="dxa"/>
          </w:tcPr>
          <w:p>
            <w:pPr>
              <w:jc w:val="center"/>
              <w:rPr>
                <w:rFonts w:hint="eastAsia" w:ascii="仿宋_GB2312" w:hAnsi="仿宋_GB2312" w:eastAsia="仿宋_GB2312" w:cs="仿宋_GB2312"/>
                <w:sz w:val="24"/>
                <w:szCs w:val="24"/>
              </w:rPr>
            </w:pPr>
          </w:p>
        </w:tc>
        <w:tc>
          <w:tcPr>
            <w:tcW w:w="2755" w:type="dxa"/>
            <w:vMerge w:val="restart"/>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主要包括办公用房物业综合管理、建筑物管理、设备设施管理、保洁、绿化、公共秩序维护、节能管理和动力能源消耗等八项支出，但不包括日常水电煤消耗、通讯、餐饮等支出。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行政单位</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不高于20元/平方米/月</w:t>
            </w:r>
          </w:p>
        </w:tc>
        <w:tc>
          <w:tcPr>
            <w:tcW w:w="2755" w:type="dxa"/>
            <w:vMerge w:val="continue"/>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事业单位</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参照执行</w:t>
            </w:r>
          </w:p>
        </w:tc>
        <w:tc>
          <w:tcPr>
            <w:tcW w:w="2755" w:type="dxa"/>
            <w:vMerge w:val="continue"/>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办公用房装修费</w:t>
            </w:r>
          </w:p>
        </w:tc>
        <w:tc>
          <w:tcPr>
            <w:tcW w:w="2631" w:type="dxa"/>
          </w:tcPr>
          <w:p>
            <w:pPr>
              <w:jc w:val="center"/>
              <w:rPr>
                <w:rFonts w:hint="eastAsia" w:ascii="仿宋_GB2312" w:hAnsi="仿宋_GB2312" w:eastAsia="仿宋_GB2312" w:cs="仿宋_GB2312"/>
                <w:sz w:val="24"/>
                <w:szCs w:val="24"/>
              </w:rPr>
            </w:pPr>
          </w:p>
        </w:tc>
        <w:tc>
          <w:tcPr>
            <w:tcW w:w="2755" w:type="dxa"/>
            <w:vMerge w:val="restart"/>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办公区域内拆除、管道铺设、强电系统（包括灯具）、消防系统、安保系统、墙体施工、地面铺设、吊面铺设、门窗安装和卫生洁具等。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办公用房</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不高于1000元/平方米</w:t>
            </w:r>
          </w:p>
        </w:tc>
        <w:tc>
          <w:tcPr>
            <w:tcW w:w="2755" w:type="dxa"/>
            <w:vMerge w:val="continue"/>
          </w:tcPr>
          <w:p>
            <w:pPr>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业务用房</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参照执行</w:t>
            </w:r>
          </w:p>
        </w:tc>
        <w:tc>
          <w:tcPr>
            <w:tcW w:w="2755" w:type="dxa"/>
            <w:vMerge w:val="continue"/>
          </w:tcPr>
          <w:p>
            <w:pPr>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通用办公设备购置费</w:t>
            </w:r>
          </w:p>
        </w:tc>
        <w:tc>
          <w:tcPr>
            <w:tcW w:w="2631" w:type="dxa"/>
          </w:tcPr>
          <w:p>
            <w:pPr>
              <w:jc w:val="center"/>
              <w:rPr>
                <w:rFonts w:hint="eastAsia" w:ascii="仿宋_GB2312" w:hAnsi="仿宋_GB2312" w:eastAsia="仿宋_GB2312" w:cs="仿宋_GB2312"/>
                <w:sz w:val="24"/>
                <w:szCs w:val="24"/>
              </w:rPr>
            </w:pP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电脑</w:t>
            </w:r>
          </w:p>
        </w:tc>
        <w:tc>
          <w:tcPr>
            <w:tcW w:w="2631" w:type="dxa"/>
          </w:tcPr>
          <w:p>
            <w:pPr>
              <w:jc w:val="center"/>
              <w:rPr>
                <w:rFonts w:hint="eastAsia" w:ascii="仿宋_GB2312" w:hAnsi="仿宋_GB2312" w:eastAsia="仿宋_GB2312" w:cs="仿宋_GB2312"/>
                <w:sz w:val="24"/>
                <w:szCs w:val="24"/>
              </w:rPr>
            </w:pP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台式电脑</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不高于6000元/台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笔记本电脑</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不高于10000元/台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打印机</w:t>
            </w:r>
          </w:p>
        </w:tc>
        <w:tc>
          <w:tcPr>
            <w:tcW w:w="2631" w:type="dxa"/>
          </w:tcPr>
          <w:p>
            <w:pPr>
              <w:jc w:val="center"/>
              <w:rPr>
                <w:rFonts w:hint="eastAsia" w:ascii="仿宋_GB2312" w:hAnsi="仿宋_GB2312" w:eastAsia="仿宋_GB2312" w:cs="仿宋_GB2312"/>
                <w:sz w:val="24"/>
                <w:szCs w:val="24"/>
              </w:rPr>
            </w:pP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激光打印机</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不高于5000元/台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喷墨打印机</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不高于2500元/台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针式打印机</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不高于3000元/台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复印机</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不高于25000元/台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普通扫描仪</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不高于2000元/台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传真机</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不高于2500元/台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碎纸机</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不高于2000元/台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投影仪</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不高于10000元/台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数码摄录设备</w:t>
            </w:r>
          </w:p>
        </w:tc>
        <w:tc>
          <w:tcPr>
            <w:tcW w:w="2631" w:type="dxa"/>
          </w:tcPr>
          <w:p>
            <w:pPr>
              <w:jc w:val="center"/>
              <w:rPr>
                <w:rFonts w:hint="eastAsia" w:ascii="仿宋_GB2312" w:hAnsi="仿宋_GB2312" w:eastAsia="仿宋_GB2312" w:cs="仿宋_GB2312"/>
                <w:sz w:val="24"/>
                <w:szCs w:val="24"/>
              </w:rPr>
            </w:pP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照相机</w:t>
            </w:r>
          </w:p>
        </w:tc>
        <w:tc>
          <w:tcPr>
            <w:tcW w:w="2631" w:type="dxa"/>
          </w:tcPr>
          <w:p>
            <w:pPr>
              <w:jc w:val="center"/>
              <w:rPr>
                <w:rFonts w:hint="eastAsia" w:ascii="仿宋_GB2312" w:hAnsi="仿宋_GB2312" w:eastAsia="仿宋_GB2312" w:cs="仿宋_GB2312"/>
                <w:sz w:val="24"/>
                <w:szCs w:val="24"/>
              </w:rPr>
            </w:pP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高档数码相机</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不高于25000元/台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数码相机</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不高于4000元/台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数码摄录机</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不高于8000元/台</w:t>
            </w:r>
          </w:p>
        </w:tc>
        <w:tc>
          <w:tcPr>
            <w:tcW w:w="2755"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课题费</w:t>
            </w:r>
          </w:p>
        </w:tc>
        <w:tc>
          <w:tcPr>
            <w:tcW w:w="2631" w:type="dxa"/>
          </w:tcPr>
          <w:p>
            <w:pPr>
              <w:jc w:val="center"/>
              <w:rPr>
                <w:rFonts w:hint="eastAsia" w:ascii="仿宋_GB2312" w:hAnsi="仿宋_GB2312" w:eastAsia="仿宋_GB2312" w:cs="仿宋_GB2312"/>
                <w:sz w:val="24"/>
                <w:szCs w:val="24"/>
              </w:rPr>
            </w:pPr>
          </w:p>
        </w:tc>
        <w:tc>
          <w:tcPr>
            <w:tcW w:w="2755" w:type="dxa"/>
            <w:vMerge w:val="restart"/>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开展社会科学类课题研究所必需的劳务费、材料费、交通费、咨询费、场租费及其他经费等支出。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国家级课题</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不高于20万元/个</w:t>
            </w:r>
          </w:p>
        </w:tc>
        <w:tc>
          <w:tcPr>
            <w:tcW w:w="2755" w:type="dxa"/>
            <w:vMerge w:val="continue"/>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市委、市政府课题</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不高于15万元/个</w:t>
            </w:r>
          </w:p>
        </w:tc>
        <w:tc>
          <w:tcPr>
            <w:tcW w:w="2755" w:type="dxa"/>
            <w:vMerge w:val="continue"/>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部门课题</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不高于5万元/个</w:t>
            </w:r>
          </w:p>
        </w:tc>
        <w:tc>
          <w:tcPr>
            <w:tcW w:w="2755" w:type="dxa"/>
            <w:vMerge w:val="continue"/>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w:t>
            </w:r>
          </w:p>
        </w:tc>
        <w:tc>
          <w:tcPr>
            <w:tcW w:w="241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临时工工资</w:t>
            </w:r>
          </w:p>
        </w:tc>
        <w:tc>
          <w:tcPr>
            <w:tcW w:w="263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3000元/人/月</w:t>
            </w:r>
          </w:p>
        </w:tc>
        <w:tc>
          <w:tcPr>
            <w:tcW w:w="2755"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单位在空编数内按规定标准安排的聘用人员工资（含社保缴费和公积金缴费）</w:t>
            </w:r>
          </w:p>
        </w:tc>
      </w:tr>
    </w:tbl>
    <w:p>
      <w:pPr>
        <w:jc w:val="cente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Arial Narrow">
    <w:panose1 w:val="020B0606020202030204"/>
    <w:charset w:val="01"/>
    <w:family w:val="swiss"/>
    <w:pitch w:val="default"/>
    <w:sig w:usb0="00000287" w:usb1="000008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5C"/>
    <w:rsid w:val="000550D9"/>
    <w:rsid w:val="0009784E"/>
    <w:rsid w:val="000C6EAF"/>
    <w:rsid w:val="003E6F79"/>
    <w:rsid w:val="00B12835"/>
    <w:rsid w:val="00BF6BB7"/>
    <w:rsid w:val="00C23B6F"/>
    <w:rsid w:val="00C83E5C"/>
    <w:rsid w:val="00CE2227"/>
    <w:rsid w:val="00DE55A7"/>
    <w:rsid w:val="00E11BAD"/>
    <w:rsid w:val="07583221"/>
    <w:rsid w:val="145925E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样式77777"/>
    <w:basedOn w:val="1"/>
    <w:qFormat/>
    <w:uiPriority w:val="0"/>
  </w:style>
  <w:style w:type="character" w:customStyle="1" w:styleId="7">
    <w:name w:val="日期 Char"/>
    <w:basedOn w:val="3"/>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Words>
  <Characters>1009</Characters>
  <Lines>8</Lines>
  <Paragraphs>2</Paragraphs>
  <ScaleCrop>false</ScaleCrop>
  <LinksUpToDate>false</LinksUpToDate>
  <CharactersWithSpaces>1184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2016-09-19T09:45:00Z</dcterms:created>
  <dc:creator>zou</dc:creator>
  <cp:lastModifiedBy>Administrator</cp:lastModifiedBy>
  <dcterms:modified xsi:type="dcterms:W3CDTF">2016-10-08T01:06:12Z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